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4D77" w14:textId="77777777" w:rsidR="004E2B1F" w:rsidRDefault="004E2B1F" w:rsidP="004614D1">
      <w:pPr>
        <w:rPr>
          <w:rFonts w:asciiTheme="minorHAnsi" w:hAnsiTheme="minorHAnsi" w:cstheme="minorHAnsi"/>
          <w:szCs w:val="24"/>
        </w:rPr>
      </w:pPr>
    </w:p>
    <w:p w14:paraId="7C4F5FCB" w14:textId="77777777" w:rsidR="004E2B1F" w:rsidRDefault="004E2B1F" w:rsidP="004614D1">
      <w:pPr>
        <w:rPr>
          <w:rFonts w:asciiTheme="minorHAnsi" w:hAnsiTheme="minorHAnsi" w:cstheme="minorHAnsi"/>
          <w:szCs w:val="24"/>
        </w:rPr>
      </w:pPr>
    </w:p>
    <w:p w14:paraId="778943FC" w14:textId="075B31BF" w:rsidR="004614D1" w:rsidRDefault="004614D1" w:rsidP="004614D1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HAnsi"/>
          <w:szCs w:val="24"/>
        </w:rPr>
        <w:t>1</w:t>
      </w:r>
      <w:r w:rsidR="00C56017">
        <w:rPr>
          <w:rFonts w:asciiTheme="minorHAnsi" w:hAnsiTheme="minorHAnsi" w:cstheme="minorHAnsi"/>
          <w:szCs w:val="24"/>
        </w:rPr>
        <w:t>4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de marzo de 2018 </w:t>
      </w:r>
    </w:p>
    <w:p w14:paraId="68022383" w14:textId="77777777" w:rsidR="004614D1" w:rsidRDefault="004614D1" w:rsidP="004614D1">
      <w:pPr>
        <w:rPr>
          <w:rFonts w:asciiTheme="minorHAnsi" w:hAnsiTheme="minorHAnsi" w:cstheme="minorHAnsi"/>
          <w:szCs w:val="24"/>
          <w:lang w:eastAsia="en-US"/>
        </w:rPr>
      </w:pPr>
    </w:p>
    <w:p w14:paraId="018CC3BF" w14:textId="77777777" w:rsidR="004E2B1F" w:rsidRDefault="004E2B1F" w:rsidP="000850BB">
      <w:pPr>
        <w:pStyle w:val="Prrafodelista"/>
        <w:tabs>
          <w:tab w:val="left" w:pos="0"/>
        </w:tabs>
        <w:ind w:left="0"/>
        <w:jc w:val="center"/>
        <w:rPr>
          <w:b/>
          <w:sz w:val="24"/>
        </w:rPr>
      </w:pPr>
    </w:p>
    <w:p w14:paraId="35195A4B" w14:textId="0C1AF745" w:rsidR="00F268FD" w:rsidRDefault="008C6682" w:rsidP="000850BB">
      <w:pPr>
        <w:pStyle w:val="Prrafodelista"/>
        <w:tabs>
          <w:tab w:val="left" w:pos="0"/>
        </w:tabs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Las últimas innovaciones de Philips Lighting facilitan aún más el cambio de la iluminación mediante LED </w:t>
      </w:r>
    </w:p>
    <w:p w14:paraId="28A9B2D5" w14:textId="77777777" w:rsidR="00381AE4" w:rsidRDefault="00381AE4" w:rsidP="00381AE4">
      <w:pPr>
        <w:rPr>
          <w:b/>
          <w:bCs/>
          <w:szCs w:val="22"/>
        </w:rPr>
      </w:pPr>
    </w:p>
    <w:p w14:paraId="3E4E58A3" w14:textId="77777777" w:rsidR="004E2B1F" w:rsidRDefault="004E2B1F" w:rsidP="00381AE4">
      <w:pPr>
        <w:rPr>
          <w:b/>
          <w:bCs/>
          <w:szCs w:val="22"/>
        </w:rPr>
      </w:pPr>
    </w:p>
    <w:p w14:paraId="113E6914" w14:textId="60AEC22A" w:rsidR="00DA4D83" w:rsidRPr="006953C9" w:rsidRDefault="004E2B1F" w:rsidP="00381AE4">
      <w:pPr>
        <w:rPr>
          <w:szCs w:val="22"/>
        </w:rPr>
      </w:pPr>
      <w:r>
        <w:rPr>
          <w:b/>
          <w:bCs/>
          <w:szCs w:val="22"/>
        </w:rPr>
        <w:t>Madrid</w:t>
      </w:r>
      <w:r w:rsidR="00F268FD">
        <w:rPr>
          <w:b/>
          <w:bCs/>
          <w:szCs w:val="22"/>
        </w:rPr>
        <w:t xml:space="preserve">, </w:t>
      </w:r>
      <w:r>
        <w:rPr>
          <w:b/>
          <w:bCs/>
          <w:szCs w:val="22"/>
        </w:rPr>
        <w:t>España</w:t>
      </w:r>
      <w:r w:rsidR="00F268FD">
        <w:rPr>
          <w:b/>
          <w:bCs/>
          <w:szCs w:val="22"/>
        </w:rPr>
        <w:t>:</w:t>
      </w:r>
      <w:r w:rsidR="00F268FD">
        <w:rPr>
          <w:szCs w:val="22"/>
        </w:rPr>
        <w:t xml:space="preserve"> Philips Lighting (Euronext: LIGHT), el líder mundial en </w:t>
      </w:r>
      <w:proofErr w:type="gramStart"/>
      <w:r w:rsidR="00F268FD">
        <w:rPr>
          <w:szCs w:val="22"/>
        </w:rPr>
        <w:t>iluminación,</w:t>
      </w:r>
      <w:proofErr w:type="gramEnd"/>
      <w:r w:rsidR="00F268FD">
        <w:rPr>
          <w:szCs w:val="22"/>
        </w:rPr>
        <w:t xml:space="preserve"> anun</w:t>
      </w:r>
      <w:r w:rsidR="008910AD">
        <w:rPr>
          <w:szCs w:val="22"/>
        </w:rPr>
        <w:t>cia</w:t>
      </w:r>
      <w:r w:rsidR="00F268FD">
        <w:rPr>
          <w:rFonts w:asciiTheme="minorHAnsi" w:hAnsiTheme="minorHAnsi" w:cstheme="minorHAnsi"/>
          <w:szCs w:val="24"/>
        </w:rPr>
        <w:t xml:space="preserve"> dos nuevas innovaciones, </w:t>
      </w:r>
      <w:r w:rsidR="00F268FD">
        <w:rPr>
          <w:rFonts w:asciiTheme="minorHAnsi" w:hAnsiTheme="minorHAnsi" w:cstheme="minorHAnsi"/>
          <w:b/>
          <w:szCs w:val="24"/>
        </w:rPr>
        <w:t xml:space="preserve">Philips TrueForce LED </w:t>
      </w:r>
      <w:r w:rsidR="00F268FD">
        <w:rPr>
          <w:b/>
          <w:bCs/>
          <w:szCs w:val="22"/>
        </w:rPr>
        <w:t>Road</w:t>
      </w:r>
      <w:r w:rsidR="00F268FD">
        <w:rPr>
          <w:bCs/>
          <w:szCs w:val="22"/>
        </w:rPr>
        <w:t xml:space="preserve"> y </w:t>
      </w:r>
      <w:r w:rsidR="00F268FD">
        <w:rPr>
          <w:b/>
          <w:szCs w:val="22"/>
        </w:rPr>
        <w:t xml:space="preserve">Philips CorePro LEDtube Universal T8. </w:t>
      </w:r>
      <w:r w:rsidR="00F268FD">
        <w:rPr>
          <w:rFonts w:asciiTheme="minorHAnsi" w:hAnsiTheme="minorHAnsi" w:cstheme="minorHAnsi"/>
          <w:szCs w:val="24"/>
        </w:rPr>
        <w:t xml:space="preserve">Philips TrueForce LED </w:t>
      </w:r>
      <w:r w:rsidR="00F268FD">
        <w:rPr>
          <w:bCs/>
          <w:szCs w:val="22"/>
        </w:rPr>
        <w:t>Road</w:t>
      </w:r>
      <w:r w:rsidR="00F268FD">
        <w:rPr>
          <w:b/>
          <w:szCs w:val="22"/>
        </w:rPr>
        <w:t xml:space="preserve"> </w:t>
      </w:r>
      <w:r w:rsidR="00F268FD">
        <w:rPr>
          <w:bCs/>
          <w:szCs w:val="22"/>
        </w:rPr>
        <w:t xml:space="preserve">es la primera lámpara LED SON-T de sustitución "plug and play" para el alumbrado urbano, </w:t>
      </w:r>
      <w:r w:rsidR="00F268FD">
        <w:rPr>
          <w:szCs w:val="22"/>
        </w:rPr>
        <w:t>que facilita la actualización a LED de instalaciones existentes sin tener que reemplazar las luminarias</w:t>
      </w:r>
      <w:r w:rsidR="00F268FD">
        <w:rPr>
          <w:bCs/>
          <w:szCs w:val="22"/>
        </w:rPr>
        <w:t xml:space="preserve">. </w:t>
      </w:r>
      <w:r w:rsidR="00F268FD">
        <w:rPr>
          <w:szCs w:val="22"/>
        </w:rPr>
        <w:t>Philips CorePro LEDtube Universal T8 es una gama revolucionaria de tubos que permite sustituirlos con la misma facilidad que los tubos fluorescentes.</w:t>
      </w:r>
    </w:p>
    <w:p w14:paraId="2251D39F" w14:textId="77777777" w:rsidR="00DA4D83" w:rsidRPr="006953C9" w:rsidRDefault="00DA4D83" w:rsidP="00381AE4">
      <w:pPr>
        <w:rPr>
          <w:szCs w:val="22"/>
        </w:rPr>
      </w:pPr>
    </w:p>
    <w:p w14:paraId="38304CCF" w14:textId="2B5BBB7F" w:rsidR="002F0870" w:rsidRDefault="00AF3CF4" w:rsidP="00A24FAF">
      <w:pPr>
        <w:rPr>
          <w:b/>
          <w:bCs/>
          <w:szCs w:val="22"/>
        </w:rPr>
      </w:pPr>
      <w:r>
        <w:rPr>
          <w:b/>
          <w:szCs w:val="22"/>
        </w:rPr>
        <w:t xml:space="preserve">Philips </w:t>
      </w:r>
      <w:proofErr w:type="spellStart"/>
      <w:r>
        <w:rPr>
          <w:b/>
          <w:szCs w:val="22"/>
        </w:rPr>
        <w:t>TrueForce</w:t>
      </w:r>
      <w:proofErr w:type="spellEnd"/>
      <w:r>
        <w:rPr>
          <w:b/>
          <w:szCs w:val="22"/>
        </w:rPr>
        <w:t xml:space="preserve"> LED Road, </w:t>
      </w:r>
      <w:r>
        <w:rPr>
          <w:b/>
          <w:bCs/>
          <w:szCs w:val="22"/>
        </w:rPr>
        <w:t>para la sustitución del alumbrado urbano "igual por igual"</w:t>
      </w:r>
    </w:p>
    <w:p w14:paraId="7934C2BC" w14:textId="77777777" w:rsidR="007928C9" w:rsidRPr="006953C9" w:rsidRDefault="007928C9" w:rsidP="00A24FAF">
      <w:pPr>
        <w:rPr>
          <w:szCs w:val="22"/>
        </w:rPr>
      </w:pPr>
    </w:p>
    <w:p w14:paraId="2FFF7711" w14:textId="38ACF4F3" w:rsidR="00C64D7F" w:rsidRPr="006953C9" w:rsidRDefault="00A24FAF" w:rsidP="00A24FAF">
      <w:pPr>
        <w:rPr>
          <w:szCs w:val="22"/>
        </w:rPr>
      </w:pPr>
      <w:r>
        <w:rPr>
          <w:szCs w:val="22"/>
        </w:rPr>
        <w:t xml:space="preserve">La nueva </w:t>
      </w:r>
      <w:r>
        <w:rPr>
          <w:b/>
          <w:szCs w:val="22"/>
        </w:rPr>
        <w:t xml:space="preserve">Philips </w:t>
      </w:r>
      <w:proofErr w:type="spellStart"/>
      <w:r>
        <w:rPr>
          <w:b/>
          <w:szCs w:val="22"/>
        </w:rPr>
        <w:t>TrueForce</w:t>
      </w:r>
      <w:proofErr w:type="spellEnd"/>
      <w:r>
        <w:rPr>
          <w:b/>
          <w:szCs w:val="22"/>
        </w:rPr>
        <w:t xml:space="preserve"> LED </w:t>
      </w:r>
      <w:proofErr w:type="gramStart"/>
      <w:r>
        <w:rPr>
          <w:b/>
          <w:szCs w:val="22"/>
        </w:rPr>
        <w:t xml:space="preserve">Road </w:t>
      </w:r>
      <w:r>
        <w:rPr>
          <w:szCs w:val="22"/>
        </w:rPr>
        <w:t xml:space="preserve"> es</w:t>
      </w:r>
      <w:proofErr w:type="gramEnd"/>
      <w:r>
        <w:rPr>
          <w:szCs w:val="22"/>
        </w:rPr>
        <w:t xml:space="preserve"> la primera </w:t>
      </w:r>
      <w:r w:rsidR="007928C9">
        <w:rPr>
          <w:szCs w:val="22"/>
        </w:rPr>
        <w:t>lámpara</w:t>
      </w:r>
      <w:r>
        <w:rPr>
          <w:szCs w:val="22"/>
        </w:rPr>
        <w:t xml:space="preserve"> en adaptarse a las luminarias E27 estándar y replicar un efecto de iluminación similar al del alumbrado urbano convencional. Philips TrueForce LED Road reduce el tiempo necesario para mantener, reemplazar e instalar cada lámpara </w:t>
      </w:r>
      <w:r w:rsidR="007928C9">
        <w:rPr>
          <w:szCs w:val="22"/>
        </w:rPr>
        <w:t>del alumbrado urbano</w:t>
      </w:r>
      <w:r>
        <w:rPr>
          <w:szCs w:val="22"/>
        </w:rPr>
        <w:t xml:space="preserve">, incluido el tiempo </w:t>
      </w:r>
      <w:r w:rsidR="007928C9">
        <w:rPr>
          <w:szCs w:val="22"/>
        </w:rPr>
        <w:t xml:space="preserve">de </w:t>
      </w:r>
      <w:r>
        <w:rPr>
          <w:szCs w:val="22"/>
        </w:rPr>
        <w:t>corte de las calles</w:t>
      </w:r>
      <w:r w:rsidR="007928C9">
        <w:rPr>
          <w:szCs w:val="22"/>
        </w:rPr>
        <w:t xml:space="preserve"> necesario</w:t>
      </w:r>
      <w:r>
        <w:rPr>
          <w:szCs w:val="22"/>
        </w:rPr>
        <w:t>. Además, su mayor vida útil, que supera los ocho años, unida a un ahorro energético superior al 45%</w:t>
      </w:r>
      <w:r w:rsidR="007928C9">
        <w:rPr>
          <w:szCs w:val="22"/>
        </w:rPr>
        <w:t>,</w:t>
      </w:r>
      <w:r>
        <w:rPr>
          <w:szCs w:val="22"/>
        </w:rPr>
        <w:t xml:space="preserve"> en comparación con las bombillas convencionales</w:t>
      </w:r>
      <w:r w:rsidR="007928C9">
        <w:rPr>
          <w:szCs w:val="22"/>
        </w:rPr>
        <w:t>,</w:t>
      </w:r>
      <w:r>
        <w:rPr>
          <w:szCs w:val="22"/>
        </w:rPr>
        <w:t xml:space="preserve"> ayudan a ahorrar costes de explotación.</w:t>
      </w:r>
    </w:p>
    <w:p w14:paraId="7687A728" w14:textId="77777777" w:rsidR="00FA53D5" w:rsidRDefault="00FA53D5" w:rsidP="00FA53D5"/>
    <w:p w14:paraId="4D249D85" w14:textId="3C9DC417" w:rsidR="00FA53D5" w:rsidRDefault="00FA53D5" w:rsidP="00FA53D5">
      <w:pPr>
        <w:rPr>
          <w:bCs/>
          <w:iCs/>
        </w:rPr>
      </w:pPr>
      <w:r>
        <w:t xml:space="preserve">El ayuntamiento de Nacka, en Suecia, ya ha probado la nueva Philips TrueForce LED Road. </w:t>
      </w:r>
      <w:r>
        <w:rPr>
          <w:bCs/>
          <w:iCs/>
        </w:rPr>
        <w:t>Mikael Jansson,</w:t>
      </w:r>
      <w:r>
        <w:t xml:space="preserve"> experto en alumbrado urbano del ayuntamiento, declaró: </w:t>
      </w:r>
      <w:r>
        <w:rPr>
          <w:bCs/>
          <w:iCs/>
        </w:rPr>
        <w:t>“</w:t>
      </w:r>
      <w:r>
        <w:rPr>
          <w:rFonts w:asciiTheme="minorHAnsi" w:hAnsiTheme="minorHAnsi" w:cstheme="minorHAnsi"/>
          <w:szCs w:val="24"/>
        </w:rPr>
        <w:t xml:space="preserve">Philips TrueForce LED </w:t>
      </w:r>
      <w:r>
        <w:rPr>
          <w:bCs/>
          <w:szCs w:val="22"/>
        </w:rPr>
        <w:t xml:space="preserve">Road </w:t>
      </w:r>
      <w:r>
        <w:rPr>
          <w:bCs/>
          <w:iCs/>
        </w:rPr>
        <w:t>ofrece mejor calidad de luz y un</w:t>
      </w:r>
      <w:r w:rsidR="007928C9">
        <w:rPr>
          <w:bCs/>
          <w:iCs/>
        </w:rPr>
        <w:t>a mayor sensación de seguridad</w:t>
      </w:r>
      <w:r>
        <w:rPr>
          <w:bCs/>
          <w:iCs/>
        </w:rPr>
        <w:t xml:space="preserve"> en comparación con las lámparas de sodio de alta presión de 70 W. La instalación resultó tan fácil como la de una lámpara normal</w:t>
      </w:r>
      <w:r w:rsidR="007928C9">
        <w:rPr>
          <w:bCs/>
          <w:iCs/>
        </w:rPr>
        <w:t xml:space="preserve">, siendo </w:t>
      </w:r>
      <w:r>
        <w:rPr>
          <w:bCs/>
          <w:iCs/>
        </w:rPr>
        <w:t xml:space="preserve">idónea para diversas aplicaciones. Philips TrueForce LED Road es una buena alternativa a las luminarias LED cuando los presupuestos son limitados”. </w:t>
      </w:r>
    </w:p>
    <w:p w14:paraId="10BBD80D" w14:textId="77777777" w:rsidR="00C64D7F" w:rsidRPr="006953C9" w:rsidRDefault="00C64D7F" w:rsidP="00A24FAF">
      <w:pPr>
        <w:rPr>
          <w:szCs w:val="22"/>
        </w:rPr>
      </w:pPr>
    </w:p>
    <w:p w14:paraId="115C314F" w14:textId="0CB4D6A4" w:rsidR="005D4BC3" w:rsidRPr="006953C9" w:rsidRDefault="00C64D7F" w:rsidP="00DA4D83">
      <w:pPr>
        <w:autoSpaceDE w:val="0"/>
        <w:autoSpaceDN w:val="0"/>
        <w:rPr>
          <w:szCs w:val="22"/>
        </w:rPr>
      </w:pPr>
      <w:r>
        <w:rPr>
          <w:szCs w:val="22"/>
        </w:rPr>
        <w:t xml:space="preserve">La nueva </w:t>
      </w:r>
      <w:r>
        <w:rPr>
          <w:rFonts w:asciiTheme="minorHAnsi" w:hAnsiTheme="minorHAnsi" w:cstheme="minorHAnsi"/>
          <w:szCs w:val="24"/>
        </w:rPr>
        <w:t xml:space="preserve">Philips </w:t>
      </w:r>
      <w:proofErr w:type="spellStart"/>
      <w:r>
        <w:rPr>
          <w:rFonts w:asciiTheme="minorHAnsi" w:hAnsiTheme="minorHAnsi" w:cstheme="minorHAnsi"/>
          <w:szCs w:val="24"/>
        </w:rPr>
        <w:t>TrueForce</w:t>
      </w:r>
      <w:proofErr w:type="spellEnd"/>
      <w:r>
        <w:rPr>
          <w:rFonts w:asciiTheme="minorHAnsi" w:hAnsiTheme="minorHAnsi" w:cstheme="minorHAnsi"/>
          <w:szCs w:val="24"/>
        </w:rPr>
        <w:t xml:space="preserve"> LED </w:t>
      </w:r>
      <w:r>
        <w:rPr>
          <w:bCs/>
          <w:szCs w:val="22"/>
        </w:rPr>
        <w:t>Road moderniza el diseño del alumbrado urbano</w:t>
      </w:r>
      <w:r w:rsidR="007928C9">
        <w:rPr>
          <w:bCs/>
          <w:szCs w:val="22"/>
        </w:rPr>
        <w:t>, con una antigüedad media</w:t>
      </w:r>
      <w:r>
        <w:rPr>
          <w:bCs/>
          <w:szCs w:val="22"/>
        </w:rPr>
        <w:t xml:space="preserve"> de 20 a 30 años, distribuye una cantidad de luz similar a la del alumbrado urbano convencional y </w:t>
      </w:r>
      <w:r>
        <w:rPr>
          <w:szCs w:val="22"/>
        </w:rPr>
        <w:t xml:space="preserve">está disponible tanto en blanco cálido como en blanco frío, para </w:t>
      </w:r>
      <w:r>
        <w:rPr>
          <w:bCs/>
          <w:szCs w:val="22"/>
        </w:rPr>
        <w:t xml:space="preserve">integrarse a la perfección con el alumbrado urbano existente. </w:t>
      </w:r>
      <w:bookmarkStart w:id="1" w:name="_Hlk508117294"/>
      <w:r>
        <w:rPr>
          <w:bCs/>
          <w:szCs w:val="22"/>
        </w:rPr>
        <w:t>Con un índice de reproducción del color mejorado significativamente en comparación con las lámparas SON-T convencionales, también potencia la sensación de confort y seguridad.</w:t>
      </w:r>
      <w:bookmarkEnd w:id="1"/>
      <w:r>
        <w:rPr>
          <w:bCs/>
          <w:szCs w:val="22"/>
        </w:rPr>
        <w:t xml:space="preserve"> Philips TrueForce LED Road estará disponible en toda Europa a partir de </w:t>
      </w:r>
      <w:r w:rsidR="007928C9">
        <w:rPr>
          <w:bCs/>
          <w:szCs w:val="22"/>
        </w:rPr>
        <w:t>verano</w:t>
      </w:r>
      <w:r>
        <w:rPr>
          <w:bCs/>
          <w:szCs w:val="22"/>
        </w:rPr>
        <w:t xml:space="preserve"> de 2018.</w:t>
      </w:r>
      <w:r>
        <w:rPr>
          <w:szCs w:val="22"/>
        </w:rPr>
        <w:t xml:space="preserve"> </w:t>
      </w:r>
    </w:p>
    <w:p w14:paraId="18DC5B39" w14:textId="77777777" w:rsidR="008933BD" w:rsidRDefault="008933BD" w:rsidP="008047AD"/>
    <w:p w14:paraId="58A46409" w14:textId="7003A622" w:rsidR="00260B1C" w:rsidRDefault="00260B1C" w:rsidP="00C65231">
      <w:pPr>
        <w:rPr>
          <w:b/>
          <w:szCs w:val="22"/>
        </w:rPr>
      </w:pPr>
      <w:r>
        <w:rPr>
          <w:b/>
          <w:szCs w:val="22"/>
        </w:rPr>
        <w:t>Philips Lighting refuerza su gama de tubos LED universales con una nueva gam</w:t>
      </w:r>
      <w:r w:rsidR="007928C9">
        <w:rPr>
          <w:b/>
          <w:szCs w:val="22"/>
        </w:rPr>
        <w:t>a pensada para la distribución</w:t>
      </w:r>
    </w:p>
    <w:p w14:paraId="2A7B9D16" w14:textId="77777777" w:rsidR="007928C9" w:rsidRPr="00C65231" w:rsidRDefault="007928C9" w:rsidP="00C65231">
      <w:pPr>
        <w:rPr>
          <w:b/>
          <w:szCs w:val="22"/>
        </w:rPr>
      </w:pPr>
    </w:p>
    <w:p w14:paraId="359E8E4D" w14:textId="210287ED" w:rsidR="00B721AC" w:rsidRPr="006953C9" w:rsidRDefault="00260B1C" w:rsidP="00260B1C">
      <w:r>
        <w:t xml:space="preserve">Philips Lighting ha anunciado una revolucionaria gama de tubos universales, </w:t>
      </w:r>
      <w:r>
        <w:rPr>
          <w:b/>
          <w:bCs/>
        </w:rPr>
        <w:t xml:space="preserve">Philips </w:t>
      </w:r>
      <w:proofErr w:type="spellStart"/>
      <w:r>
        <w:rPr>
          <w:b/>
          <w:bCs/>
        </w:rPr>
        <w:t>CorePro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LEDtube</w:t>
      </w:r>
      <w:proofErr w:type="spellEnd"/>
      <w:r>
        <w:rPr>
          <w:b/>
          <w:bCs/>
        </w:rPr>
        <w:t xml:space="preserve"> Universal T8</w:t>
      </w:r>
      <w:r>
        <w:t xml:space="preserve">. Con esta nueva </w:t>
      </w:r>
      <w:r w:rsidR="007928C9">
        <w:t>incorporación</w:t>
      </w:r>
      <w:r>
        <w:t xml:space="preserve">, Philips Lighting ofrece la gama más amplia de tubos LED del sector para diferentes aplicaciones, prestando servicio al mercado de especificaciones de alta calidad con la gama </w:t>
      </w:r>
      <w:proofErr w:type="gramStart"/>
      <w:r>
        <w:t>MASTER</w:t>
      </w:r>
      <w:proofErr w:type="gramEnd"/>
      <w:r>
        <w:t xml:space="preserve"> Universal existentes y a los clientes </w:t>
      </w:r>
      <w:r w:rsidR="007928C9">
        <w:t>de la distribución</w:t>
      </w:r>
      <w:r>
        <w:t xml:space="preserve"> con la nueva gama CorePro Universal. </w:t>
      </w:r>
    </w:p>
    <w:p w14:paraId="1EC6026E" w14:textId="77777777" w:rsidR="00B721AC" w:rsidRPr="006953C9" w:rsidRDefault="00B721AC" w:rsidP="00260B1C"/>
    <w:p w14:paraId="2485D29D" w14:textId="25719936" w:rsidR="00DA4D83" w:rsidRDefault="00260B1C" w:rsidP="00C1403A">
      <w:r>
        <w:t xml:space="preserve">El tubo Philips </w:t>
      </w:r>
      <w:proofErr w:type="spellStart"/>
      <w:r>
        <w:t>CorePro</w:t>
      </w:r>
      <w:proofErr w:type="spellEnd"/>
      <w:r>
        <w:t xml:space="preserve"> LED Universal T8 aprovecha la experiencia y los conocimientos especializados de Philips Lighting para conseguir que la instalación de los tubos resulte tan fácil como lo era la de </w:t>
      </w:r>
      <w:r>
        <w:lastRenderedPageBreak/>
        <w:t>los tubos fluorescentes. La gama es asequible en comparación con los tubos LED universales de gama alta, lo que la convierte en la alternativa ideal a las luces fluorescentes estándar</w:t>
      </w:r>
      <w:r w:rsidR="007928C9">
        <w:t>.</w:t>
      </w:r>
    </w:p>
    <w:p w14:paraId="120F70BB" w14:textId="77777777" w:rsidR="007928C9" w:rsidRPr="006953C9" w:rsidRDefault="007928C9" w:rsidP="00C1403A">
      <w:pPr>
        <w:rPr>
          <w:szCs w:val="22"/>
        </w:rPr>
      </w:pPr>
    </w:p>
    <w:p w14:paraId="3CEDA3FB" w14:textId="453002DE" w:rsidR="00B721AC" w:rsidRPr="006953C9" w:rsidRDefault="00C1403A" w:rsidP="004614D1">
      <w:pPr>
        <w:rPr>
          <w:szCs w:val="22"/>
        </w:rPr>
      </w:pPr>
      <w:r>
        <w:rPr>
          <w:szCs w:val="22"/>
        </w:rPr>
        <w:t xml:space="preserve">Diseñado en aras de la simplicidad, el tubo Universal T8 se ha optimizado para funcionar con todas las tecnologías de driver y encaja directamente en luminarias que funcionan con balastos electromagnéticos o balastos electrónicos HF, lo que reduce los costes derivados de almacenar diferentes tipos de tubos. El tubo Philips CorePro LED Universal T8 puede conectarse directamente a la red eléctrica, sin necesidad de balasto. Esto permite un ahorro energético adicional. Además, al simplificar el proceso de selección de tubos, permite a los profesionales de la iluminación dedicar su tiempo, experiencia y recursos a instalar </w:t>
      </w:r>
      <w:r w:rsidR="007928C9">
        <w:rPr>
          <w:szCs w:val="22"/>
        </w:rPr>
        <w:t xml:space="preserve">la mejor </w:t>
      </w:r>
      <w:r>
        <w:rPr>
          <w:szCs w:val="22"/>
        </w:rPr>
        <w:t xml:space="preserve">iluminación para </w:t>
      </w:r>
      <w:r w:rsidR="007928C9">
        <w:rPr>
          <w:szCs w:val="22"/>
        </w:rPr>
        <w:t xml:space="preserve">las </w:t>
      </w:r>
      <w:r>
        <w:rPr>
          <w:szCs w:val="22"/>
        </w:rPr>
        <w:t xml:space="preserve">diferentes necesidades. </w:t>
      </w:r>
    </w:p>
    <w:p w14:paraId="03B8B0F3" w14:textId="77777777" w:rsidR="00B721AC" w:rsidRPr="006953C9" w:rsidRDefault="00B721AC" w:rsidP="004614D1"/>
    <w:p w14:paraId="5F6908CE" w14:textId="4396C876" w:rsidR="003B594B" w:rsidRPr="006953C9" w:rsidRDefault="006052E3" w:rsidP="004614D1">
      <w:pPr>
        <w:rPr>
          <w:szCs w:val="22"/>
        </w:rPr>
      </w:pPr>
      <w:r>
        <w:t>El nuevo tubo LED universal, diseñado para iluminar una amplia variedad de espacios como aparcamientos, pasillos y centros comerciales,</w:t>
      </w:r>
      <w:r>
        <w:rPr>
          <w:szCs w:val="22"/>
        </w:rPr>
        <w:t xml:space="preserve"> proporciona luz fiable y de alta calidad junto con un ahorro energético de hasta el 65% en comparación con los tubos fluorescentes TL-D a los que sustituye. Philips CorePro LEDtube Universal T8 estará disponible en toda Europa a partir de </w:t>
      </w:r>
      <w:r w:rsidR="007928C9">
        <w:rPr>
          <w:szCs w:val="22"/>
        </w:rPr>
        <w:t>primavera</w:t>
      </w:r>
      <w:r>
        <w:rPr>
          <w:szCs w:val="22"/>
        </w:rPr>
        <w:t xml:space="preserve"> de 2018. </w:t>
      </w:r>
    </w:p>
    <w:p w14:paraId="5B83BF52" w14:textId="77777777" w:rsidR="004D45B8" w:rsidRPr="006953C9" w:rsidRDefault="004D45B8" w:rsidP="007360E0">
      <w:pPr>
        <w:rPr>
          <w:lang w:eastAsia="en-GB"/>
        </w:rPr>
      </w:pPr>
    </w:p>
    <w:p w14:paraId="4C87BEFC" w14:textId="77777777" w:rsidR="006953C9" w:rsidRPr="00C56017" w:rsidRDefault="006953C9" w:rsidP="006953C9"/>
    <w:p w14:paraId="1FE125B0" w14:textId="4D0178E5" w:rsidR="006953C9" w:rsidRDefault="006953C9" w:rsidP="006953C9">
      <w:pPr>
        <w:rPr>
          <w:rStyle w:val="Hipervnculo"/>
        </w:rPr>
      </w:pPr>
      <w:r w:rsidRPr="00C56017">
        <w:t xml:space="preserve">Philips Lighting mostrará la nueva gama de lamparas LED en </w:t>
      </w:r>
      <w:proofErr w:type="spellStart"/>
      <w:r w:rsidRPr="00C56017">
        <w:t>Light+Building</w:t>
      </w:r>
      <w:proofErr w:type="spellEnd"/>
      <w:r w:rsidRPr="00C56017">
        <w:t xml:space="preserve"> 2018, en el stand de Philips Lighting en Hall 0: </w:t>
      </w:r>
      <w:proofErr w:type="spellStart"/>
      <w:r w:rsidRPr="00C56017">
        <w:t>Forum</w:t>
      </w:r>
      <w:proofErr w:type="spellEnd"/>
      <w:r w:rsidRPr="00C56017">
        <w:t>.</w:t>
      </w:r>
      <w:r w:rsidRPr="00C56017">
        <w:rPr>
          <w:color w:val="FF0000"/>
        </w:rPr>
        <w:t xml:space="preserve"> </w:t>
      </w:r>
      <w:r>
        <w:t xml:space="preserve">Se invita a los medios de comunicación y a los blogueros a asistir a la conferencia de prensa de Philips Lighting el lunes 19 de marzo a las 13:00 h en el stand de Philips Lighting. También puedes ver la conferencia de prensa a través de webcast en directo </w:t>
      </w:r>
      <w:hyperlink r:id="rId8" w:history="1">
        <w:r>
          <w:rPr>
            <w:rStyle w:val="Hipervnculo"/>
          </w:rPr>
          <w:t>Haz clic aquí.</w:t>
        </w:r>
      </w:hyperlink>
    </w:p>
    <w:p w14:paraId="1B6F859D" w14:textId="77777777" w:rsidR="006953C9" w:rsidRDefault="006953C9" w:rsidP="006953C9">
      <w:pPr>
        <w:rPr>
          <w:lang w:eastAsia="en-GB"/>
        </w:rPr>
      </w:pPr>
    </w:p>
    <w:p w14:paraId="2065A61D" w14:textId="77777777" w:rsidR="006953C9" w:rsidRDefault="006953C9" w:rsidP="006953C9">
      <w:pPr>
        <w:rPr>
          <w:lang w:eastAsia="en-GB"/>
        </w:rPr>
      </w:pPr>
    </w:p>
    <w:p w14:paraId="76A26459" w14:textId="77777777" w:rsidR="006953C9" w:rsidRDefault="006953C9" w:rsidP="006953C9">
      <w:pPr>
        <w:rPr>
          <w:rFonts w:cs="Calibri"/>
          <w:b/>
          <w:szCs w:val="22"/>
          <w:lang w:bidi="ar-SA"/>
        </w:rPr>
      </w:pPr>
      <w:r>
        <w:rPr>
          <w:rFonts w:cs="Calibri"/>
          <w:b/>
          <w:szCs w:val="22"/>
          <w:lang w:bidi="ar-SA"/>
        </w:rPr>
        <w:t xml:space="preserve">Para más Información: </w:t>
      </w:r>
    </w:p>
    <w:p w14:paraId="4EF0A4EA" w14:textId="77777777" w:rsidR="006953C9" w:rsidRDefault="006953C9" w:rsidP="006953C9">
      <w:pPr>
        <w:rPr>
          <w:rFonts w:cs="Calibri"/>
          <w:b/>
          <w:szCs w:val="22"/>
          <w:lang w:bidi="ar-SA"/>
        </w:rPr>
      </w:pPr>
    </w:p>
    <w:tbl>
      <w:tblPr>
        <w:tblStyle w:val="Tablaconcuadrcu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4214"/>
      </w:tblGrid>
      <w:tr w:rsidR="006953C9" w14:paraId="3CED17B1" w14:textId="77777777" w:rsidTr="003B0614">
        <w:tc>
          <w:tcPr>
            <w:tcW w:w="4213" w:type="dxa"/>
          </w:tcPr>
          <w:p w14:paraId="00F38525" w14:textId="77777777" w:rsidR="006953C9" w:rsidRDefault="006953C9" w:rsidP="003B0614">
            <w:pPr>
              <w:rPr>
                <w:rFonts w:cs="Calibri"/>
                <w:b/>
                <w:bCs/>
                <w:szCs w:val="22"/>
                <w:lang w:eastAsia="de-DE" w:bidi="ar-SA"/>
              </w:rPr>
            </w:pPr>
            <w:r>
              <w:rPr>
                <w:rFonts w:cs="Calibri"/>
                <w:b/>
                <w:bCs/>
                <w:szCs w:val="22"/>
                <w:lang w:eastAsia="de-DE" w:bidi="ar-SA"/>
              </w:rPr>
              <w:t>Jordi Manrique</w:t>
            </w:r>
          </w:p>
          <w:p w14:paraId="194791A5" w14:textId="77777777" w:rsidR="006953C9" w:rsidRDefault="006953C9" w:rsidP="003B0614">
            <w:pPr>
              <w:rPr>
                <w:rFonts w:cs="Calibri"/>
                <w:szCs w:val="22"/>
                <w:lang w:eastAsia="de-DE" w:bidi="ar-SA"/>
              </w:rPr>
            </w:pPr>
            <w:r>
              <w:rPr>
                <w:rFonts w:cs="Calibri"/>
                <w:bCs/>
                <w:szCs w:val="22"/>
                <w:lang w:eastAsia="de-DE" w:bidi="ar-SA"/>
              </w:rPr>
              <w:t>Communications Manager</w:t>
            </w:r>
          </w:p>
          <w:p w14:paraId="69AB1911" w14:textId="77777777" w:rsidR="006953C9" w:rsidRDefault="006953C9" w:rsidP="003B0614">
            <w:pPr>
              <w:rPr>
                <w:rFonts w:cs="Calibri"/>
                <w:szCs w:val="22"/>
                <w:lang w:eastAsia="de-DE" w:bidi="ar-SA"/>
              </w:rPr>
            </w:pPr>
            <w:r>
              <w:rPr>
                <w:rFonts w:cs="Calibri"/>
                <w:szCs w:val="22"/>
                <w:lang w:eastAsia="de-DE" w:bidi="ar-SA"/>
              </w:rPr>
              <w:t>Philips Lighting Spain and Portugal</w:t>
            </w:r>
          </w:p>
          <w:p w14:paraId="63ED9A5F" w14:textId="77777777" w:rsidR="006953C9" w:rsidRDefault="006953C9" w:rsidP="003B0614">
            <w:pPr>
              <w:rPr>
                <w:rFonts w:cs="Calibri"/>
                <w:szCs w:val="22"/>
                <w:lang w:eastAsia="de-DE" w:bidi="ar-SA"/>
              </w:rPr>
            </w:pPr>
            <w:r>
              <w:rPr>
                <w:rFonts w:cs="Calibri"/>
                <w:szCs w:val="22"/>
                <w:lang w:eastAsia="de-DE" w:bidi="ar-SA"/>
              </w:rPr>
              <w:t>672 221 958</w:t>
            </w:r>
          </w:p>
          <w:p w14:paraId="2D4813F7" w14:textId="77777777" w:rsidR="006953C9" w:rsidRDefault="004C3146" w:rsidP="003B0614">
            <w:pPr>
              <w:rPr>
                <w:rFonts w:cs="Calibri"/>
                <w:bCs/>
                <w:color w:val="0000FF"/>
                <w:szCs w:val="22"/>
                <w:u w:val="single"/>
                <w:lang w:eastAsia="de-DE" w:bidi="ar-SA"/>
              </w:rPr>
            </w:pPr>
            <w:hyperlink r:id="rId9" w:history="1">
              <w:r w:rsidR="006953C9">
                <w:rPr>
                  <w:rStyle w:val="Hipervnculo"/>
                  <w:rFonts w:cs="Calibri"/>
                  <w:bCs/>
                  <w:szCs w:val="22"/>
                  <w:lang w:eastAsia="de-DE" w:bidi="ar-SA"/>
                </w:rPr>
                <w:t>jordi.manrique@philips.com</w:t>
              </w:r>
            </w:hyperlink>
          </w:p>
          <w:p w14:paraId="4132C252" w14:textId="77777777" w:rsidR="006953C9" w:rsidRDefault="006953C9" w:rsidP="003B0614">
            <w:pPr>
              <w:rPr>
                <w:rFonts w:cs="Calibri"/>
                <w:bCs/>
                <w:color w:val="0000FF"/>
                <w:sz w:val="22"/>
                <w:szCs w:val="22"/>
                <w:u w:val="single"/>
                <w:lang w:eastAsia="de-DE" w:bidi="ar-SA"/>
              </w:rPr>
            </w:pPr>
          </w:p>
          <w:p w14:paraId="5355AA97" w14:textId="77777777" w:rsidR="006953C9" w:rsidRDefault="006953C9" w:rsidP="003B0614">
            <w:pPr>
              <w:rPr>
                <w:rFonts w:cs="Calibri"/>
                <w:szCs w:val="22"/>
                <w:lang w:eastAsia="de-DE" w:bidi="ar-SA"/>
              </w:rPr>
            </w:pPr>
            <w:r>
              <w:rPr>
                <w:rFonts w:cs="Calibri"/>
                <w:b/>
                <w:bCs/>
                <w:szCs w:val="22"/>
                <w:lang w:eastAsia="de-DE" w:bidi="ar-SA"/>
              </w:rPr>
              <w:t xml:space="preserve">Esther Robledo </w:t>
            </w:r>
          </w:p>
          <w:p w14:paraId="187E44CA" w14:textId="77777777" w:rsidR="006953C9" w:rsidRDefault="006953C9" w:rsidP="003B0614">
            <w:pPr>
              <w:rPr>
                <w:rFonts w:cs="Calibri"/>
                <w:szCs w:val="22"/>
                <w:lang w:eastAsia="de-DE" w:bidi="ar-SA"/>
              </w:rPr>
            </w:pPr>
            <w:r>
              <w:rPr>
                <w:rFonts w:cs="Calibri"/>
                <w:szCs w:val="22"/>
                <w:lang w:eastAsia="de-DE" w:bidi="ar-SA"/>
              </w:rPr>
              <w:t>Ketchum</w:t>
            </w:r>
          </w:p>
          <w:p w14:paraId="3F21BC5E" w14:textId="77777777" w:rsidR="006953C9" w:rsidRDefault="006953C9" w:rsidP="003B0614">
            <w:pPr>
              <w:rPr>
                <w:rFonts w:cs="Calibri"/>
                <w:szCs w:val="22"/>
                <w:lang w:eastAsia="de-DE" w:bidi="ar-SA"/>
              </w:rPr>
            </w:pPr>
            <w:r>
              <w:rPr>
                <w:rFonts w:cs="Calibri"/>
                <w:szCs w:val="22"/>
                <w:lang w:eastAsia="de-DE" w:bidi="ar-SA"/>
              </w:rPr>
              <w:t>618 27 61 44</w:t>
            </w:r>
          </w:p>
          <w:p w14:paraId="0C444AD4" w14:textId="77777777" w:rsidR="006953C9" w:rsidRDefault="004C3146" w:rsidP="003B0614">
            <w:pPr>
              <w:rPr>
                <w:rFonts w:cs="Calibri"/>
                <w:b/>
                <w:szCs w:val="22"/>
                <w:lang w:bidi="ar-SA"/>
              </w:rPr>
            </w:pPr>
            <w:hyperlink r:id="rId10" w:history="1">
              <w:r w:rsidR="006953C9">
                <w:rPr>
                  <w:rStyle w:val="Hipervnculo"/>
                  <w:rFonts w:cs="Calibri"/>
                  <w:bCs/>
                  <w:szCs w:val="22"/>
                  <w:lang w:val="es-ES" w:eastAsia="de-DE" w:bidi="ar-SA"/>
                </w:rPr>
                <w:t>Equipo.philips@omnicomprgroup.com</w:t>
              </w:r>
            </w:hyperlink>
          </w:p>
          <w:p w14:paraId="32F750FA" w14:textId="77777777" w:rsidR="006953C9" w:rsidRDefault="006953C9" w:rsidP="003B0614">
            <w:pPr>
              <w:rPr>
                <w:rFonts w:cs="Calibri"/>
                <w:b/>
                <w:bCs/>
                <w:szCs w:val="22"/>
                <w:lang w:eastAsia="de-DE" w:bidi="ar-SA"/>
              </w:rPr>
            </w:pPr>
          </w:p>
        </w:tc>
        <w:tc>
          <w:tcPr>
            <w:tcW w:w="4214" w:type="dxa"/>
          </w:tcPr>
          <w:p w14:paraId="54EA55DE" w14:textId="77777777" w:rsidR="006953C9" w:rsidRDefault="006953C9" w:rsidP="003B0614">
            <w:pPr>
              <w:rPr>
                <w:rFonts w:cs="Calibri"/>
                <w:bCs/>
                <w:szCs w:val="22"/>
                <w:lang w:eastAsia="de-DE" w:bidi="ar-SA"/>
              </w:rPr>
            </w:pPr>
          </w:p>
        </w:tc>
      </w:tr>
    </w:tbl>
    <w:p w14:paraId="6EB2A64F" w14:textId="77777777" w:rsidR="006953C9" w:rsidRDefault="006953C9" w:rsidP="006953C9">
      <w:pPr>
        <w:rPr>
          <w:rFonts w:eastAsia="Calibri" w:cs="Calibri"/>
          <w:b/>
          <w:bCs/>
          <w:szCs w:val="22"/>
          <w:lang w:val="en-US" w:eastAsia="en-US" w:bidi="ar-SA"/>
        </w:rPr>
      </w:pPr>
    </w:p>
    <w:p w14:paraId="56A309B4" w14:textId="77777777" w:rsidR="006953C9" w:rsidRDefault="006953C9" w:rsidP="006953C9">
      <w:pPr>
        <w:rPr>
          <w:rFonts w:eastAsia="Calibri" w:cs="Calibri"/>
          <w:b/>
          <w:bCs/>
          <w:szCs w:val="22"/>
          <w:lang w:bidi="ar-SA"/>
        </w:rPr>
      </w:pPr>
      <w:r>
        <w:rPr>
          <w:rFonts w:eastAsia="Calibri" w:cs="Calibri"/>
          <w:b/>
          <w:bCs/>
          <w:szCs w:val="22"/>
          <w:lang w:bidi="ar-SA"/>
        </w:rPr>
        <w:t>Acerca de Philips Lighting</w:t>
      </w:r>
    </w:p>
    <w:p w14:paraId="47B81289" w14:textId="77777777" w:rsidR="006953C9" w:rsidRDefault="006953C9" w:rsidP="006953C9">
      <w:pPr>
        <w:rPr>
          <w:rFonts w:eastAsia="Calibri" w:cs="Calibri"/>
          <w:b/>
          <w:bCs/>
          <w:szCs w:val="22"/>
          <w:lang w:bidi="ar-SA"/>
        </w:rPr>
      </w:pPr>
    </w:p>
    <w:p w14:paraId="7BABEAEE" w14:textId="77777777" w:rsidR="006953C9" w:rsidRDefault="006953C9" w:rsidP="006953C9">
      <w:pPr>
        <w:jc w:val="both"/>
        <w:rPr>
          <w:lang w:val="es-ES_tradnl" w:eastAsia="fr-FR" w:bidi="fr-FR"/>
        </w:rPr>
      </w:pPr>
      <w:r>
        <w:rPr>
          <w:rFonts w:cs="Calibri"/>
          <w:szCs w:val="22"/>
          <w:lang w:val="es-ES_tradnl" w:eastAsia="de-DE" w:bidi="ar-SA"/>
        </w:rPr>
        <w:t>Philips Lighting (</w:t>
      </w:r>
      <w:proofErr w:type="spellStart"/>
      <w:r>
        <w:rPr>
          <w:rFonts w:cs="Calibri"/>
          <w:szCs w:val="22"/>
          <w:lang w:val="es-ES_tradnl" w:eastAsia="de-DE" w:bidi="ar-SA"/>
        </w:rPr>
        <w:t>Euronext</w:t>
      </w:r>
      <w:proofErr w:type="spellEnd"/>
      <w:r>
        <w:rPr>
          <w:rFonts w:cs="Calibri"/>
          <w:szCs w:val="22"/>
          <w:lang w:val="es-ES_tradnl" w:eastAsia="de-DE" w:bidi="ar-SA"/>
        </w:rPr>
        <w:t>: LIGHT), líder mundial en productos, sistemas y servicios de iluminación, ofrece innovaciones que crean nuevas oportunidades de negocio, ofrecen experiencias enriquecidas a los usuarios que ayudan a mejorar la vida. Atendiendo al mercado profesional y al de consumo, lideramos la industria aprovechando el internet de las cosas para transformar los hogares, edificios y espacios públicos. Con unas ventas de 7.000 millones de euros en 2017, contamos con aproximadamente 32.000 empleados en más de 70 países.</w:t>
      </w:r>
      <w:bookmarkStart w:id="2" w:name="LgoWordmarkPage21"/>
      <w:bookmarkEnd w:id="2"/>
      <w:r>
        <w:rPr>
          <w:rFonts w:cs="Calibri"/>
          <w:szCs w:val="22"/>
          <w:lang w:val="es-ES_tradnl" w:eastAsia="de-DE" w:bidi="ar-SA"/>
        </w:rPr>
        <w:t xml:space="preserve"> Las noticias de Philips Lighting están en el </w:t>
      </w:r>
      <w:hyperlink r:id="rId11" w:history="1">
        <w:proofErr w:type="spellStart"/>
        <w:r>
          <w:rPr>
            <w:rStyle w:val="Hipervnculo"/>
            <w:rFonts w:cs="Calibri"/>
            <w:szCs w:val="22"/>
            <w:lang w:val="es-ES_tradnl" w:eastAsia="de-DE" w:bidi="ar-SA"/>
          </w:rPr>
          <w:t>Newsroom</w:t>
        </w:r>
        <w:proofErr w:type="spellEnd"/>
      </w:hyperlink>
      <w:r>
        <w:rPr>
          <w:rFonts w:cs="Calibri"/>
          <w:szCs w:val="22"/>
          <w:lang w:val="es-ES_tradnl" w:eastAsia="de-DE" w:bidi="ar-SA"/>
        </w:rPr>
        <w:t xml:space="preserve">, </w:t>
      </w:r>
      <w:r>
        <w:rPr>
          <w:szCs w:val="22"/>
          <w:lang w:val="es-ES_tradnl" w:eastAsia="de-DE" w:bidi="ar-SA"/>
        </w:rPr>
        <w:t xml:space="preserve">en </w:t>
      </w:r>
      <w:hyperlink r:id="rId12" w:history="1">
        <w:r>
          <w:rPr>
            <w:rStyle w:val="Hipervnculo"/>
            <w:szCs w:val="22"/>
            <w:lang w:val="es-ES_tradnl" w:eastAsia="de-DE" w:bidi="ar-SA"/>
          </w:rPr>
          <w:t>Twitter</w:t>
        </w:r>
      </w:hyperlink>
      <w:r>
        <w:rPr>
          <w:szCs w:val="22"/>
          <w:lang w:val="es-ES_tradnl" w:eastAsia="de-DE" w:bidi="ar-SA"/>
        </w:rPr>
        <w:t xml:space="preserve"> y </w:t>
      </w:r>
      <w:hyperlink r:id="rId13" w:history="1">
        <w:r>
          <w:rPr>
            <w:rStyle w:val="Hipervnculo"/>
            <w:szCs w:val="22"/>
            <w:lang w:val="es-ES_tradnl" w:eastAsia="de-DE" w:bidi="ar-SA"/>
          </w:rPr>
          <w:t>LinkedIn</w:t>
        </w:r>
      </w:hyperlink>
      <w:r>
        <w:rPr>
          <w:szCs w:val="22"/>
          <w:lang w:val="es-ES_tradnl" w:eastAsia="de-DE" w:bidi="ar-SA"/>
        </w:rPr>
        <w:t xml:space="preserve">. La información relativa a inversores se puede encontrar en la página de </w:t>
      </w:r>
      <w:hyperlink r:id="rId14" w:history="1">
        <w:r>
          <w:rPr>
            <w:rStyle w:val="Hipervnculo"/>
            <w:szCs w:val="22"/>
            <w:lang w:val="es-ES_tradnl" w:eastAsia="de-DE" w:bidi="ar-SA"/>
          </w:rPr>
          <w:t xml:space="preserve">Investor </w:t>
        </w:r>
        <w:proofErr w:type="spellStart"/>
        <w:r>
          <w:rPr>
            <w:rStyle w:val="Hipervnculo"/>
            <w:szCs w:val="22"/>
            <w:lang w:val="es-ES_tradnl" w:eastAsia="de-DE" w:bidi="ar-SA"/>
          </w:rPr>
          <w:t>Relations</w:t>
        </w:r>
        <w:proofErr w:type="spellEnd"/>
      </w:hyperlink>
      <w:r>
        <w:rPr>
          <w:szCs w:val="22"/>
          <w:lang w:val="es-ES_tradnl" w:eastAsia="de-DE" w:bidi="ar-SA"/>
        </w:rPr>
        <w:t xml:space="preserve">. </w:t>
      </w:r>
    </w:p>
    <w:p w14:paraId="40F8B268" w14:textId="77777777" w:rsidR="006953C9" w:rsidRPr="006953C9" w:rsidRDefault="006953C9" w:rsidP="004D45B8">
      <w:pPr>
        <w:rPr>
          <w:lang w:val="es-ES_tradnl"/>
        </w:rPr>
      </w:pPr>
    </w:p>
    <w:sectPr w:rsidR="006953C9" w:rsidRPr="006953C9" w:rsidSect="004D45B8">
      <w:headerReference w:type="default" r:id="rId15"/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05193" w14:textId="77777777" w:rsidR="004C3146" w:rsidRDefault="004C3146" w:rsidP="00AD7F0E">
      <w:r>
        <w:separator/>
      </w:r>
    </w:p>
  </w:endnote>
  <w:endnote w:type="continuationSeparator" w:id="0">
    <w:p w14:paraId="482BE78A" w14:textId="77777777" w:rsidR="004C3146" w:rsidRDefault="004C3146" w:rsidP="00AD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0D3C3" w14:textId="77777777" w:rsidR="004C3146" w:rsidRDefault="004C3146" w:rsidP="00AD7F0E">
      <w:r>
        <w:separator/>
      </w:r>
    </w:p>
  </w:footnote>
  <w:footnote w:type="continuationSeparator" w:id="0">
    <w:p w14:paraId="65718B11" w14:textId="77777777" w:rsidR="004C3146" w:rsidRDefault="004C3146" w:rsidP="00AD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A59D1" w14:textId="77777777" w:rsidR="00135DDF" w:rsidRDefault="00135DDF">
    <w:pPr>
      <w:pStyle w:val="Encabezado"/>
    </w:pPr>
    <w:r>
      <w:rPr>
        <w:rFonts w:cs="Calibri"/>
        <w:noProof/>
      </w:rPr>
      <w:drawing>
        <wp:inline distT="0" distB="0" distL="0" distR="0" wp14:anchorId="6AF00896" wp14:editId="15866146">
          <wp:extent cx="4000500" cy="4857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6442" b="-16439"/>
                  <a:stretch/>
                </pic:blipFill>
                <pic:spPr bwMode="auto">
                  <a:xfrm>
                    <a:off x="0" y="0"/>
                    <a:ext cx="4004384" cy="4862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5D6"/>
    <w:multiLevelType w:val="hybridMultilevel"/>
    <w:tmpl w:val="78B66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A8D"/>
    <w:multiLevelType w:val="hybridMultilevel"/>
    <w:tmpl w:val="2F565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C6D72"/>
    <w:multiLevelType w:val="hybridMultilevel"/>
    <w:tmpl w:val="874619C4"/>
    <w:lvl w:ilvl="0" w:tplc="B9F8D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59EC"/>
    <w:multiLevelType w:val="hybridMultilevel"/>
    <w:tmpl w:val="E7C8ABE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3006"/>
    <w:multiLevelType w:val="hybridMultilevel"/>
    <w:tmpl w:val="3B688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A50B9"/>
    <w:multiLevelType w:val="hybridMultilevel"/>
    <w:tmpl w:val="BB8C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3AB2"/>
    <w:multiLevelType w:val="hybridMultilevel"/>
    <w:tmpl w:val="086A26B2"/>
    <w:lvl w:ilvl="0" w:tplc="CDD62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5265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98F1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40691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064E3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62DC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484B6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801E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97062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4D85294"/>
    <w:multiLevelType w:val="hybridMultilevel"/>
    <w:tmpl w:val="6476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A1858"/>
    <w:multiLevelType w:val="hybridMultilevel"/>
    <w:tmpl w:val="C7F0D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21D5B"/>
    <w:multiLevelType w:val="hybridMultilevel"/>
    <w:tmpl w:val="18B0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D6AC8"/>
    <w:multiLevelType w:val="hybridMultilevel"/>
    <w:tmpl w:val="70B4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23005"/>
    <w:multiLevelType w:val="hybridMultilevel"/>
    <w:tmpl w:val="F314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E1607"/>
    <w:multiLevelType w:val="hybridMultilevel"/>
    <w:tmpl w:val="9A52AD6E"/>
    <w:lvl w:ilvl="0" w:tplc="F7C03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A2450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928C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180A6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6ACDE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23083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CB675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B8A7D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810D6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663710D6"/>
    <w:multiLevelType w:val="hybridMultilevel"/>
    <w:tmpl w:val="34D06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B33C1"/>
    <w:multiLevelType w:val="hybridMultilevel"/>
    <w:tmpl w:val="5F747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91B54"/>
    <w:multiLevelType w:val="hybridMultilevel"/>
    <w:tmpl w:val="286E8C00"/>
    <w:lvl w:ilvl="0" w:tplc="4CA6D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6C68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11049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AF4C0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C2F3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6D443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1044B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AB0EF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92E72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70A23B9B"/>
    <w:multiLevelType w:val="hybridMultilevel"/>
    <w:tmpl w:val="F2DE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A4F93"/>
    <w:multiLevelType w:val="hybridMultilevel"/>
    <w:tmpl w:val="E4F8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"/>
  </w:num>
  <w:num w:numId="5">
    <w:abstractNumId w:val="15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17"/>
  </w:num>
  <w:num w:numId="11">
    <w:abstractNumId w:val="9"/>
  </w:num>
  <w:num w:numId="12">
    <w:abstractNumId w:val="16"/>
  </w:num>
  <w:num w:numId="13">
    <w:abstractNumId w:val="4"/>
  </w:num>
  <w:num w:numId="14">
    <w:abstractNumId w:val="6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0E"/>
    <w:rsid w:val="00000EE5"/>
    <w:rsid w:val="000017AE"/>
    <w:rsid w:val="00003302"/>
    <w:rsid w:val="00011DC9"/>
    <w:rsid w:val="00020882"/>
    <w:rsid w:val="00020EA4"/>
    <w:rsid w:val="00037B99"/>
    <w:rsid w:val="00042967"/>
    <w:rsid w:val="00043933"/>
    <w:rsid w:val="00044B29"/>
    <w:rsid w:val="00052AF2"/>
    <w:rsid w:val="0005381F"/>
    <w:rsid w:val="000548AE"/>
    <w:rsid w:val="00077AF9"/>
    <w:rsid w:val="00080843"/>
    <w:rsid w:val="000820C9"/>
    <w:rsid w:val="000850BB"/>
    <w:rsid w:val="000B02B0"/>
    <w:rsid w:val="000B5C5D"/>
    <w:rsid w:val="000C5BFE"/>
    <w:rsid w:val="000D0BC1"/>
    <w:rsid w:val="000D3252"/>
    <w:rsid w:val="000D6FC6"/>
    <w:rsid w:val="000E0B31"/>
    <w:rsid w:val="000F3252"/>
    <w:rsid w:val="000F5773"/>
    <w:rsid w:val="00110B8D"/>
    <w:rsid w:val="0011211D"/>
    <w:rsid w:val="00114D21"/>
    <w:rsid w:val="001308F8"/>
    <w:rsid w:val="001325E3"/>
    <w:rsid w:val="00135DDF"/>
    <w:rsid w:val="00147535"/>
    <w:rsid w:val="00152E11"/>
    <w:rsid w:val="001534D7"/>
    <w:rsid w:val="00155973"/>
    <w:rsid w:val="00162897"/>
    <w:rsid w:val="00166B58"/>
    <w:rsid w:val="00172DF6"/>
    <w:rsid w:val="00173ABA"/>
    <w:rsid w:val="00174E82"/>
    <w:rsid w:val="00190C77"/>
    <w:rsid w:val="00191D6E"/>
    <w:rsid w:val="00192210"/>
    <w:rsid w:val="0019410D"/>
    <w:rsid w:val="001B721C"/>
    <w:rsid w:val="001C7BE9"/>
    <w:rsid w:val="001D1176"/>
    <w:rsid w:val="001D3A82"/>
    <w:rsid w:val="001E6C3A"/>
    <w:rsid w:val="001F2A4B"/>
    <w:rsid w:val="001F394E"/>
    <w:rsid w:val="00252324"/>
    <w:rsid w:val="00254AE9"/>
    <w:rsid w:val="00260563"/>
    <w:rsid w:val="00260B1C"/>
    <w:rsid w:val="002636A8"/>
    <w:rsid w:val="00264145"/>
    <w:rsid w:val="00276B4B"/>
    <w:rsid w:val="002874ED"/>
    <w:rsid w:val="002A2F1E"/>
    <w:rsid w:val="002B1932"/>
    <w:rsid w:val="002C042A"/>
    <w:rsid w:val="002D0331"/>
    <w:rsid w:val="002D26AE"/>
    <w:rsid w:val="002E6B9E"/>
    <w:rsid w:val="002F0870"/>
    <w:rsid w:val="00310515"/>
    <w:rsid w:val="00311598"/>
    <w:rsid w:val="00312AC2"/>
    <w:rsid w:val="0032073F"/>
    <w:rsid w:val="003440F7"/>
    <w:rsid w:val="003517AB"/>
    <w:rsid w:val="003563F1"/>
    <w:rsid w:val="00374802"/>
    <w:rsid w:val="00381AE4"/>
    <w:rsid w:val="00384150"/>
    <w:rsid w:val="0038425A"/>
    <w:rsid w:val="00385D03"/>
    <w:rsid w:val="00390014"/>
    <w:rsid w:val="003B3CD2"/>
    <w:rsid w:val="003B594B"/>
    <w:rsid w:val="003C559F"/>
    <w:rsid w:val="003D1D1D"/>
    <w:rsid w:val="003D2532"/>
    <w:rsid w:val="003D60C4"/>
    <w:rsid w:val="003E11B3"/>
    <w:rsid w:val="003E40BB"/>
    <w:rsid w:val="003E5142"/>
    <w:rsid w:val="003E6ED8"/>
    <w:rsid w:val="003F29BD"/>
    <w:rsid w:val="003F2E72"/>
    <w:rsid w:val="003F6CC5"/>
    <w:rsid w:val="00407246"/>
    <w:rsid w:val="0041102E"/>
    <w:rsid w:val="00411CCB"/>
    <w:rsid w:val="004166F6"/>
    <w:rsid w:val="00425709"/>
    <w:rsid w:val="00426367"/>
    <w:rsid w:val="00443314"/>
    <w:rsid w:val="00444D8D"/>
    <w:rsid w:val="00451249"/>
    <w:rsid w:val="0045557C"/>
    <w:rsid w:val="004614D1"/>
    <w:rsid w:val="0047124D"/>
    <w:rsid w:val="00477F3F"/>
    <w:rsid w:val="004874B7"/>
    <w:rsid w:val="00487B5E"/>
    <w:rsid w:val="00496B31"/>
    <w:rsid w:val="004A3377"/>
    <w:rsid w:val="004C3146"/>
    <w:rsid w:val="004C6D34"/>
    <w:rsid w:val="004D45B8"/>
    <w:rsid w:val="004D4F3D"/>
    <w:rsid w:val="004D5995"/>
    <w:rsid w:val="004E1115"/>
    <w:rsid w:val="004E2B1F"/>
    <w:rsid w:val="004F1A02"/>
    <w:rsid w:val="005011AF"/>
    <w:rsid w:val="005038B2"/>
    <w:rsid w:val="00510283"/>
    <w:rsid w:val="00517157"/>
    <w:rsid w:val="00520D40"/>
    <w:rsid w:val="00551E20"/>
    <w:rsid w:val="00557D60"/>
    <w:rsid w:val="005634B6"/>
    <w:rsid w:val="00564ABC"/>
    <w:rsid w:val="00584A4E"/>
    <w:rsid w:val="00593B55"/>
    <w:rsid w:val="00597606"/>
    <w:rsid w:val="00597E8B"/>
    <w:rsid w:val="005A4C29"/>
    <w:rsid w:val="005B2242"/>
    <w:rsid w:val="005B7CB9"/>
    <w:rsid w:val="005C4954"/>
    <w:rsid w:val="005C6EEC"/>
    <w:rsid w:val="005D0A9A"/>
    <w:rsid w:val="005D4BC3"/>
    <w:rsid w:val="005D54D7"/>
    <w:rsid w:val="005E250B"/>
    <w:rsid w:val="005E7876"/>
    <w:rsid w:val="005F1748"/>
    <w:rsid w:val="005F7B18"/>
    <w:rsid w:val="00600618"/>
    <w:rsid w:val="006052E3"/>
    <w:rsid w:val="00611BB5"/>
    <w:rsid w:val="006263F0"/>
    <w:rsid w:val="00635A6D"/>
    <w:rsid w:val="00635B8B"/>
    <w:rsid w:val="0064042D"/>
    <w:rsid w:val="00642630"/>
    <w:rsid w:val="00643CFB"/>
    <w:rsid w:val="00653FCA"/>
    <w:rsid w:val="00661779"/>
    <w:rsid w:val="006624B5"/>
    <w:rsid w:val="00666920"/>
    <w:rsid w:val="006678D9"/>
    <w:rsid w:val="006744F7"/>
    <w:rsid w:val="00686C6F"/>
    <w:rsid w:val="006953C9"/>
    <w:rsid w:val="006A6864"/>
    <w:rsid w:val="006A6DAB"/>
    <w:rsid w:val="006C1B58"/>
    <w:rsid w:val="006C20FC"/>
    <w:rsid w:val="006C3C62"/>
    <w:rsid w:val="006C78EF"/>
    <w:rsid w:val="006D619F"/>
    <w:rsid w:val="006F1281"/>
    <w:rsid w:val="006F1849"/>
    <w:rsid w:val="006F683C"/>
    <w:rsid w:val="0070552D"/>
    <w:rsid w:val="00722A58"/>
    <w:rsid w:val="00726BEF"/>
    <w:rsid w:val="00731D0A"/>
    <w:rsid w:val="00735EED"/>
    <w:rsid w:val="007360E0"/>
    <w:rsid w:val="00743710"/>
    <w:rsid w:val="00743BA1"/>
    <w:rsid w:val="00745DF5"/>
    <w:rsid w:val="00756D77"/>
    <w:rsid w:val="00760DCB"/>
    <w:rsid w:val="00775919"/>
    <w:rsid w:val="00780E76"/>
    <w:rsid w:val="007849F7"/>
    <w:rsid w:val="007928C9"/>
    <w:rsid w:val="00797C0A"/>
    <w:rsid w:val="007A571B"/>
    <w:rsid w:val="007A75E9"/>
    <w:rsid w:val="007C6184"/>
    <w:rsid w:val="007C624C"/>
    <w:rsid w:val="007E45B1"/>
    <w:rsid w:val="007E7668"/>
    <w:rsid w:val="0080013C"/>
    <w:rsid w:val="008047AD"/>
    <w:rsid w:val="00806D93"/>
    <w:rsid w:val="008118EF"/>
    <w:rsid w:val="0081199F"/>
    <w:rsid w:val="00813B82"/>
    <w:rsid w:val="008157E6"/>
    <w:rsid w:val="00822437"/>
    <w:rsid w:val="008229F7"/>
    <w:rsid w:val="00836F45"/>
    <w:rsid w:val="008400EB"/>
    <w:rsid w:val="008415E0"/>
    <w:rsid w:val="0084388D"/>
    <w:rsid w:val="00854186"/>
    <w:rsid w:val="008623AF"/>
    <w:rsid w:val="00864F27"/>
    <w:rsid w:val="00866E62"/>
    <w:rsid w:val="00872AE9"/>
    <w:rsid w:val="00872C6F"/>
    <w:rsid w:val="008910AD"/>
    <w:rsid w:val="00891AC8"/>
    <w:rsid w:val="008933BD"/>
    <w:rsid w:val="008945C9"/>
    <w:rsid w:val="00897031"/>
    <w:rsid w:val="008C2D5B"/>
    <w:rsid w:val="008C6682"/>
    <w:rsid w:val="008E11FF"/>
    <w:rsid w:val="008E51C2"/>
    <w:rsid w:val="008F16ED"/>
    <w:rsid w:val="008F43B3"/>
    <w:rsid w:val="008F6155"/>
    <w:rsid w:val="009225BB"/>
    <w:rsid w:val="00923E75"/>
    <w:rsid w:val="00930493"/>
    <w:rsid w:val="0095403F"/>
    <w:rsid w:val="009559B6"/>
    <w:rsid w:val="00965165"/>
    <w:rsid w:val="00966911"/>
    <w:rsid w:val="00971ACE"/>
    <w:rsid w:val="00974B37"/>
    <w:rsid w:val="00977A04"/>
    <w:rsid w:val="0098431D"/>
    <w:rsid w:val="00984EEB"/>
    <w:rsid w:val="009859F5"/>
    <w:rsid w:val="00986E4C"/>
    <w:rsid w:val="00991202"/>
    <w:rsid w:val="00996B0F"/>
    <w:rsid w:val="00996F06"/>
    <w:rsid w:val="009B4195"/>
    <w:rsid w:val="009D096F"/>
    <w:rsid w:val="00A118EE"/>
    <w:rsid w:val="00A147C9"/>
    <w:rsid w:val="00A2018D"/>
    <w:rsid w:val="00A237C6"/>
    <w:rsid w:val="00A24FAF"/>
    <w:rsid w:val="00A25D8D"/>
    <w:rsid w:val="00A27822"/>
    <w:rsid w:val="00A2786B"/>
    <w:rsid w:val="00A46C56"/>
    <w:rsid w:val="00A51C20"/>
    <w:rsid w:val="00A54309"/>
    <w:rsid w:val="00A54F67"/>
    <w:rsid w:val="00A87948"/>
    <w:rsid w:val="00A92B47"/>
    <w:rsid w:val="00AA0EDC"/>
    <w:rsid w:val="00AA55BF"/>
    <w:rsid w:val="00AB187C"/>
    <w:rsid w:val="00AD7F0E"/>
    <w:rsid w:val="00AE0403"/>
    <w:rsid w:val="00AF08BD"/>
    <w:rsid w:val="00AF1AA7"/>
    <w:rsid w:val="00AF29E0"/>
    <w:rsid w:val="00AF3176"/>
    <w:rsid w:val="00AF3CF4"/>
    <w:rsid w:val="00B022FA"/>
    <w:rsid w:val="00B06BF7"/>
    <w:rsid w:val="00B13341"/>
    <w:rsid w:val="00B137A3"/>
    <w:rsid w:val="00B14DE4"/>
    <w:rsid w:val="00B1673A"/>
    <w:rsid w:val="00B406D7"/>
    <w:rsid w:val="00B417CC"/>
    <w:rsid w:val="00B42CFE"/>
    <w:rsid w:val="00B55821"/>
    <w:rsid w:val="00B6612B"/>
    <w:rsid w:val="00B721AC"/>
    <w:rsid w:val="00B80B67"/>
    <w:rsid w:val="00B85B6A"/>
    <w:rsid w:val="00B921AE"/>
    <w:rsid w:val="00B92FED"/>
    <w:rsid w:val="00BA3781"/>
    <w:rsid w:val="00BB6A4C"/>
    <w:rsid w:val="00BC13CE"/>
    <w:rsid w:val="00BC3976"/>
    <w:rsid w:val="00BC4BEC"/>
    <w:rsid w:val="00BD1421"/>
    <w:rsid w:val="00BE6AB7"/>
    <w:rsid w:val="00BF2A23"/>
    <w:rsid w:val="00BF69F1"/>
    <w:rsid w:val="00C00930"/>
    <w:rsid w:val="00C03D17"/>
    <w:rsid w:val="00C110D4"/>
    <w:rsid w:val="00C1403A"/>
    <w:rsid w:val="00C1647D"/>
    <w:rsid w:val="00C20EC9"/>
    <w:rsid w:val="00C21F37"/>
    <w:rsid w:val="00C40154"/>
    <w:rsid w:val="00C4347E"/>
    <w:rsid w:val="00C44136"/>
    <w:rsid w:val="00C46FC3"/>
    <w:rsid w:val="00C47505"/>
    <w:rsid w:val="00C56017"/>
    <w:rsid w:val="00C621B7"/>
    <w:rsid w:val="00C63B8A"/>
    <w:rsid w:val="00C64D7F"/>
    <w:rsid w:val="00C65231"/>
    <w:rsid w:val="00C6581B"/>
    <w:rsid w:val="00C85851"/>
    <w:rsid w:val="00C912C8"/>
    <w:rsid w:val="00CA7318"/>
    <w:rsid w:val="00CA78E8"/>
    <w:rsid w:val="00CA7CE9"/>
    <w:rsid w:val="00CA7F1A"/>
    <w:rsid w:val="00CB1160"/>
    <w:rsid w:val="00CB258F"/>
    <w:rsid w:val="00CB44C9"/>
    <w:rsid w:val="00CB6609"/>
    <w:rsid w:val="00CC3235"/>
    <w:rsid w:val="00CC5100"/>
    <w:rsid w:val="00CC7F19"/>
    <w:rsid w:val="00CD033F"/>
    <w:rsid w:val="00CD4EE6"/>
    <w:rsid w:val="00CD6B33"/>
    <w:rsid w:val="00CE0BF4"/>
    <w:rsid w:val="00CE2DC3"/>
    <w:rsid w:val="00CF051D"/>
    <w:rsid w:val="00CF4B8C"/>
    <w:rsid w:val="00D07729"/>
    <w:rsid w:val="00D102D2"/>
    <w:rsid w:val="00D12DCA"/>
    <w:rsid w:val="00D15D66"/>
    <w:rsid w:val="00D20F6F"/>
    <w:rsid w:val="00D2565A"/>
    <w:rsid w:val="00D2569A"/>
    <w:rsid w:val="00D4246F"/>
    <w:rsid w:val="00D438F1"/>
    <w:rsid w:val="00D51EBD"/>
    <w:rsid w:val="00D655F8"/>
    <w:rsid w:val="00D70F78"/>
    <w:rsid w:val="00D753E5"/>
    <w:rsid w:val="00D77E5D"/>
    <w:rsid w:val="00D85901"/>
    <w:rsid w:val="00DA4D83"/>
    <w:rsid w:val="00DB0543"/>
    <w:rsid w:val="00DB6D88"/>
    <w:rsid w:val="00DC787D"/>
    <w:rsid w:val="00DD6B71"/>
    <w:rsid w:val="00DE1942"/>
    <w:rsid w:val="00DE431E"/>
    <w:rsid w:val="00DE4FA1"/>
    <w:rsid w:val="00DF4E1B"/>
    <w:rsid w:val="00E148A4"/>
    <w:rsid w:val="00E22E73"/>
    <w:rsid w:val="00E24135"/>
    <w:rsid w:val="00E263CA"/>
    <w:rsid w:val="00E3123B"/>
    <w:rsid w:val="00E356C6"/>
    <w:rsid w:val="00E5234D"/>
    <w:rsid w:val="00E52E54"/>
    <w:rsid w:val="00E54BA1"/>
    <w:rsid w:val="00E717F7"/>
    <w:rsid w:val="00E8297B"/>
    <w:rsid w:val="00E82A3F"/>
    <w:rsid w:val="00E82FB6"/>
    <w:rsid w:val="00EA6268"/>
    <w:rsid w:val="00EB542F"/>
    <w:rsid w:val="00EB5F22"/>
    <w:rsid w:val="00EC02DE"/>
    <w:rsid w:val="00EC5791"/>
    <w:rsid w:val="00EC7AF0"/>
    <w:rsid w:val="00ED172E"/>
    <w:rsid w:val="00ED3729"/>
    <w:rsid w:val="00ED4484"/>
    <w:rsid w:val="00ED5904"/>
    <w:rsid w:val="00EE609C"/>
    <w:rsid w:val="00EF695B"/>
    <w:rsid w:val="00F05632"/>
    <w:rsid w:val="00F22753"/>
    <w:rsid w:val="00F268FD"/>
    <w:rsid w:val="00F331F2"/>
    <w:rsid w:val="00F36253"/>
    <w:rsid w:val="00F42FDA"/>
    <w:rsid w:val="00F53644"/>
    <w:rsid w:val="00F607EE"/>
    <w:rsid w:val="00F71D06"/>
    <w:rsid w:val="00F801E7"/>
    <w:rsid w:val="00F81742"/>
    <w:rsid w:val="00F85B8B"/>
    <w:rsid w:val="00F92A0F"/>
    <w:rsid w:val="00F94419"/>
    <w:rsid w:val="00FA268D"/>
    <w:rsid w:val="00FA53D5"/>
    <w:rsid w:val="00FA7804"/>
    <w:rsid w:val="00FB3580"/>
    <w:rsid w:val="00FB59F7"/>
    <w:rsid w:val="00FC6831"/>
    <w:rsid w:val="00FC71E3"/>
    <w:rsid w:val="00FD6224"/>
    <w:rsid w:val="00FD7C57"/>
    <w:rsid w:val="00FE6329"/>
    <w:rsid w:val="00FE7381"/>
    <w:rsid w:val="00FF238B"/>
    <w:rsid w:val="00FF4CA0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FB8B"/>
  <w15:chartTrackingRefBased/>
  <w15:docId w15:val="{DD8AA3EA-5143-4705-AE9B-1406FC1F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F0E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Ttulo2">
    <w:name w:val="heading 2"/>
    <w:basedOn w:val="Normal"/>
    <w:link w:val="Ttulo2Car"/>
    <w:uiPriority w:val="9"/>
    <w:qFormat/>
    <w:rsid w:val="004614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F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D7F0E"/>
  </w:style>
  <w:style w:type="paragraph" w:styleId="Piedepgina">
    <w:name w:val="footer"/>
    <w:basedOn w:val="Normal"/>
    <w:link w:val="PiedepginaCar"/>
    <w:uiPriority w:val="99"/>
    <w:unhideWhenUsed/>
    <w:rsid w:val="00AD7F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7F0E"/>
  </w:style>
  <w:style w:type="character" w:styleId="Hipervnculo">
    <w:name w:val="Hyperlink"/>
    <w:uiPriority w:val="99"/>
    <w:unhideWhenUsed/>
    <w:rsid w:val="00AD7F0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D7F0E"/>
    <w:rPr>
      <w:rFonts w:eastAsiaTheme="minorHAnsi" w:cs="Calibri"/>
      <w:szCs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D7F0E"/>
    <w:rPr>
      <w:rFonts w:ascii="Calibri" w:hAnsi="Calibri" w:cs="Calibri"/>
    </w:rPr>
  </w:style>
  <w:style w:type="character" w:customStyle="1" w:styleId="s3">
    <w:name w:val="s3"/>
    <w:basedOn w:val="Fuentedeprrafopredeter"/>
    <w:rsid w:val="00AD7F0E"/>
  </w:style>
  <w:style w:type="character" w:customStyle="1" w:styleId="apple-converted-space">
    <w:name w:val="apple-converted-space"/>
    <w:basedOn w:val="Fuentedeprrafopredeter"/>
    <w:rsid w:val="00B921AE"/>
  </w:style>
  <w:style w:type="character" w:styleId="nfasis">
    <w:name w:val="Emphasis"/>
    <w:basedOn w:val="Fuentedeprrafopredeter"/>
    <w:uiPriority w:val="20"/>
    <w:qFormat/>
    <w:rsid w:val="00B921AE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172D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DF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DF6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D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DF6"/>
    <w:rPr>
      <w:rFonts w:ascii="Calibri" w:eastAsia="Times New Roman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D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DF6"/>
    <w:rPr>
      <w:rFonts w:ascii="Segoe UI" w:eastAsia="Times New Roman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70F7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5A4C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92FED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92FED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B92FED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F051D"/>
    <w:rPr>
      <w:rFonts w:ascii="Calibri" w:eastAsia="Times New Roman" w:hAnsi="Calibri" w:cs="Times New Roman"/>
      <w:szCs w:val="20"/>
    </w:rPr>
  </w:style>
  <w:style w:type="character" w:customStyle="1" w:styleId="divfg">
    <w:name w:val="divfg"/>
    <w:basedOn w:val="Fuentedeprrafopredeter"/>
    <w:rsid w:val="00390014"/>
  </w:style>
  <w:style w:type="character" w:customStyle="1" w:styleId="Ttulo2Car">
    <w:name w:val="Título 2 Car"/>
    <w:basedOn w:val="Fuentedeprrafopredeter"/>
    <w:link w:val="Ttulo2"/>
    <w:uiPriority w:val="9"/>
    <w:rsid w:val="004614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-heading-02">
    <w:name w:val="p-heading-02"/>
    <w:basedOn w:val="Fuentedeprrafopredeter"/>
    <w:rsid w:val="004614D1"/>
  </w:style>
  <w:style w:type="paragraph" w:customStyle="1" w:styleId="s4">
    <w:name w:val="s4"/>
    <w:basedOn w:val="Normal"/>
    <w:uiPriority w:val="99"/>
    <w:rsid w:val="00E82A3F"/>
    <w:pPr>
      <w:spacing w:before="100" w:beforeAutospacing="1" w:after="100" w:afterAutospacing="1"/>
    </w:pPr>
    <w:rPr>
      <w:rFonts w:eastAsiaTheme="minorHAnsi" w:cs="Calibri"/>
      <w:szCs w:val="22"/>
    </w:rPr>
  </w:style>
  <w:style w:type="table" w:customStyle="1" w:styleId="Tablaconcuadrcula1">
    <w:name w:val="Tabla con cuadrícula1"/>
    <w:basedOn w:val="Tablanormal"/>
    <w:rsid w:val="0069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40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21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edge.media-2Dserver.com_m6_p_iivnoc5e&amp;d=DwMFAg&amp;c=9wxE0DgWbPxd1HCzjwN8Eaww1--ViDajIU4RXCxgSXE&amp;r=FzcwoJSUHRRdNcLm52faK_Wyc8L-m3m2aWyiVsbzf2w&amp;m=eF8iDCzGCmot6DU7lhYt5TlDZRs4M_d-j0LqfPkmkFQ&amp;s=aHVfOpwF4BM4h2MXFshz3qTuM_X8QbIcwAdwCiEo1rk&amp;e=" TargetMode="External"/><Relationship Id="rId13" Type="http://schemas.openxmlformats.org/officeDocument/2006/relationships/hyperlink" Target="https://www.linkedin.com/showcase/1808265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Lighting_Pres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ilips.es/prens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quipo.philips@omnicompr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rdi.manrique@philips.com" TargetMode="External"/><Relationship Id="rId14" Type="http://schemas.openxmlformats.org/officeDocument/2006/relationships/hyperlink" Target="http://www.lighting.philips.com/main/inves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A6C3-31DF-4DCD-B7BC-3940268F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990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Ketchum Inc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Holly</dc:creator>
  <cp:keywords/>
  <dc:description/>
  <cp:lastModifiedBy>Jordi Manrique</cp:lastModifiedBy>
  <cp:revision>19</cp:revision>
  <cp:lastPrinted>2018-03-07T13:47:00Z</cp:lastPrinted>
  <dcterms:created xsi:type="dcterms:W3CDTF">2018-03-07T10:47:00Z</dcterms:created>
  <dcterms:modified xsi:type="dcterms:W3CDTF">2018-03-13T19:25:00Z</dcterms:modified>
</cp:coreProperties>
</file>